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BF57B" w14:textId="245D35BF" w:rsidR="003F66AA" w:rsidRDefault="00CD4E57">
      <w:pPr>
        <w:pStyle w:val="Corpsdetex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E3B4AF" wp14:editId="1E9B17FB">
            <wp:extent cx="1681163" cy="529861"/>
            <wp:effectExtent l="0" t="0" r="0" b="0"/>
            <wp:docPr id="2" name="Image 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MQ_LogoComplet_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434" cy="54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51F8E" w14:textId="77777777" w:rsidR="003F66AA" w:rsidRDefault="003F66AA">
      <w:pPr>
        <w:pStyle w:val="Corpsdetexte"/>
        <w:spacing w:before="1"/>
        <w:rPr>
          <w:rFonts w:ascii="Times New Roman"/>
        </w:rPr>
      </w:pPr>
    </w:p>
    <w:p w14:paraId="1FC885CA" w14:textId="77777777" w:rsidR="003F66AA" w:rsidRPr="00CD4E57" w:rsidRDefault="00CD4E57">
      <w:pPr>
        <w:tabs>
          <w:tab w:val="left" w:pos="893"/>
          <w:tab w:val="left" w:pos="10075"/>
        </w:tabs>
        <w:spacing w:before="95"/>
        <w:ind w:left="630"/>
        <w:rPr>
          <w:b/>
          <w:lang w:val="fr-CA"/>
        </w:rPr>
      </w:pPr>
      <w:r w:rsidRPr="00CD4E57">
        <w:rPr>
          <w:rFonts w:ascii="Times New Roman" w:hAnsi="Times New Roman"/>
          <w:color w:val="FFFFFF"/>
          <w:w w:val="99"/>
          <w:shd w:val="clear" w:color="auto" w:fill="3DA2CA"/>
          <w:lang w:val="fr-CA"/>
        </w:rPr>
        <w:t xml:space="preserve"> </w:t>
      </w:r>
      <w:r w:rsidRPr="00CD4E57">
        <w:rPr>
          <w:rFonts w:ascii="Times New Roman" w:hAnsi="Times New Roman"/>
          <w:color w:val="FFFFFF"/>
          <w:shd w:val="clear" w:color="auto" w:fill="3DA2CA"/>
          <w:lang w:val="fr-CA"/>
        </w:rPr>
        <w:tab/>
      </w:r>
      <w:r w:rsidRPr="00CD4E57">
        <w:rPr>
          <w:b/>
          <w:color w:val="FFFFFF"/>
          <w:shd w:val="clear" w:color="auto" w:fill="3DA2CA"/>
          <w:lang w:val="fr-CA"/>
        </w:rPr>
        <w:t>EXEMPLE D’UNE POLITIQUE DE PRÉVENTION DES MALADIES INFECTIEUSES AU</w:t>
      </w:r>
      <w:r w:rsidRPr="00CD4E57">
        <w:rPr>
          <w:b/>
          <w:color w:val="FFFFFF"/>
          <w:spacing w:val="-26"/>
          <w:shd w:val="clear" w:color="auto" w:fill="3DA2CA"/>
          <w:lang w:val="fr-CA"/>
        </w:rPr>
        <w:t xml:space="preserve"> </w:t>
      </w:r>
      <w:r w:rsidRPr="00CD4E57">
        <w:rPr>
          <w:b/>
          <w:color w:val="FFFFFF"/>
          <w:shd w:val="clear" w:color="auto" w:fill="3DA2CA"/>
          <w:lang w:val="fr-CA"/>
        </w:rPr>
        <w:t>TRAVAIL</w:t>
      </w:r>
      <w:r w:rsidRPr="00CD4E57">
        <w:rPr>
          <w:b/>
          <w:color w:val="FFFFFF"/>
          <w:shd w:val="clear" w:color="auto" w:fill="3DA2CA"/>
          <w:lang w:val="fr-CA"/>
        </w:rPr>
        <w:tab/>
      </w:r>
    </w:p>
    <w:p w14:paraId="6AC159AB" w14:textId="00CFE09F" w:rsidR="003F66AA" w:rsidRPr="00CD4E57" w:rsidRDefault="00CD4E57">
      <w:pPr>
        <w:spacing w:before="120" w:line="367" w:lineRule="auto"/>
        <w:ind w:left="2501" w:right="1979"/>
        <w:jc w:val="center"/>
        <w:rPr>
          <w:b/>
          <w:sz w:val="19"/>
          <w:lang w:val="fr-CA"/>
        </w:rPr>
      </w:pPr>
      <w:r w:rsidRPr="00CD4E57">
        <w:rPr>
          <w:b/>
          <w:sz w:val="19"/>
          <w:lang w:val="fr-CA"/>
        </w:rPr>
        <w:t xml:space="preserve">Politique adoptée par le conseil d’administration le </w:t>
      </w:r>
      <w:r>
        <w:rPr>
          <w:b/>
          <w:sz w:val="19"/>
          <w:lang w:val="fr-CA"/>
        </w:rPr>
        <w:t>20</w:t>
      </w:r>
      <w:r w:rsidRPr="00CD4E57">
        <w:rPr>
          <w:b/>
          <w:sz w:val="19"/>
          <w:lang w:val="fr-CA"/>
        </w:rPr>
        <w:t xml:space="preserve"> </w:t>
      </w:r>
      <w:r>
        <w:rPr>
          <w:b/>
          <w:sz w:val="19"/>
          <w:lang w:val="fr-CA"/>
        </w:rPr>
        <w:t>mars</w:t>
      </w:r>
      <w:r w:rsidRPr="00CD4E57">
        <w:rPr>
          <w:b/>
          <w:sz w:val="19"/>
          <w:lang w:val="fr-CA"/>
        </w:rPr>
        <w:t xml:space="preserve"> 2020 Entrée en vigueur de la politique : 2</w:t>
      </w:r>
      <w:r>
        <w:rPr>
          <w:b/>
          <w:sz w:val="19"/>
          <w:lang w:val="fr-CA"/>
        </w:rPr>
        <w:t>5</w:t>
      </w:r>
      <w:r w:rsidRPr="00CD4E57">
        <w:rPr>
          <w:b/>
          <w:sz w:val="19"/>
          <w:lang w:val="fr-CA"/>
        </w:rPr>
        <w:t xml:space="preserve"> </w:t>
      </w:r>
      <w:r>
        <w:rPr>
          <w:b/>
          <w:sz w:val="19"/>
          <w:lang w:val="fr-CA"/>
        </w:rPr>
        <w:t>mars</w:t>
      </w:r>
      <w:r w:rsidRPr="00CD4E57">
        <w:rPr>
          <w:b/>
          <w:sz w:val="19"/>
          <w:lang w:val="fr-CA"/>
        </w:rPr>
        <w:t xml:space="preserve"> 2020</w:t>
      </w:r>
    </w:p>
    <w:p w14:paraId="1699D34F" w14:textId="77777777" w:rsidR="003F66AA" w:rsidRDefault="00CD4E57">
      <w:pPr>
        <w:pStyle w:val="Titre1"/>
        <w:numPr>
          <w:ilvl w:val="0"/>
          <w:numId w:val="1"/>
        </w:numPr>
        <w:tabs>
          <w:tab w:val="left" w:pos="986"/>
        </w:tabs>
        <w:spacing w:before="120"/>
        <w:ind w:hanging="325"/>
        <w:jc w:val="both"/>
      </w:pPr>
      <w:r>
        <w:pict w14:anchorId="3C777E86">
          <v:line id="_x0000_s1032" style="position:absolute;left:0;text-align:left;z-index:-251658240;mso-wrap-distance-left:0;mso-wrap-distance-right:0;mso-position-horizontal-relative:page" from="70.5pt,27.25pt" to="542.75pt,27.25pt" strokecolor="#3da2ca" strokeweight=".96pt">
            <w10:wrap type="topAndBottom" anchorx="page"/>
          </v:line>
        </w:pict>
      </w:r>
      <w:r>
        <w:rPr>
          <w:color w:val="282F66"/>
          <w:spacing w:val="4"/>
        </w:rPr>
        <w:t>Objectif</w:t>
      </w:r>
    </w:p>
    <w:p w14:paraId="264C3D8A" w14:textId="77777777" w:rsidR="003F66AA" w:rsidRPr="00CD4E57" w:rsidRDefault="00CD4E57">
      <w:pPr>
        <w:pStyle w:val="Corpsdetexte"/>
        <w:spacing w:before="50"/>
        <w:ind w:left="660" w:right="135"/>
        <w:jc w:val="both"/>
        <w:rPr>
          <w:lang w:val="fr-CA"/>
        </w:rPr>
      </w:pPr>
      <w:r w:rsidRPr="00CD4E57">
        <w:rPr>
          <w:lang w:val="fr-CA"/>
        </w:rPr>
        <w:t xml:space="preserve">L’employeur reconnaît l’importance de la prévention des maladies infectieuses et a prévu un plan de continuation des affaires </w:t>
      </w:r>
      <w:r w:rsidRPr="00CD4E57">
        <w:rPr>
          <w:lang w:val="fr-CA"/>
        </w:rPr>
        <w:t>en cas de pandémie. Dans ce contexte, l’objectif de cette politique est d’annoncer l’engagement de l’employeur à prendre les moyens raisonnables pour veiller à la santé des employés et pour réduire l’impact d’une pandémie sur l’organisation.</w:t>
      </w:r>
    </w:p>
    <w:p w14:paraId="55E1A7AE" w14:textId="77777777" w:rsidR="003F66AA" w:rsidRPr="00CD4E57" w:rsidRDefault="00CD4E57">
      <w:pPr>
        <w:pStyle w:val="Corpsdetexte"/>
        <w:spacing w:before="120"/>
        <w:ind w:left="660" w:right="137"/>
        <w:jc w:val="both"/>
        <w:rPr>
          <w:lang w:val="fr-CA"/>
        </w:rPr>
      </w:pPr>
      <w:r w:rsidRPr="00CD4E57">
        <w:rPr>
          <w:lang w:val="fr-CA"/>
        </w:rPr>
        <w:t>En cas de pand</w:t>
      </w:r>
      <w:r w:rsidRPr="00CD4E57">
        <w:rPr>
          <w:lang w:val="fr-CA"/>
        </w:rPr>
        <w:t>émie, l’organisation va rapidement instaurer des mesures d’atténuation. L’employeur s’engage à mettre en place les mesures indiquées par les instances gouvernementales et l’OMS, ainsi que d’autres mesures spécifiques au lieu de</w:t>
      </w:r>
      <w:r w:rsidRPr="00CD4E57">
        <w:rPr>
          <w:spacing w:val="-1"/>
          <w:lang w:val="fr-CA"/>
        </w:rPr>
        <w:t xml:space="preserve"> </w:t>
      </w:r>
      <w:r w:rsidRPr="00CD4E57">
        <w:rPr>
          <w:lang w:val="fr-CA"/>
        </w:rPr>
        <w:t>travail.</w:t>
      </w:r>
    </w:p>
    <w:p w14:paraId="4CEAA22A" w14:textId="77777777" w:rsidR="003F66AA" w:rsidRPr="00CD4E57" w:rsidRDefault="00CD4E57">
      <w:pPr>
        <w:pStyle w:val="Corpsdetexte"/>
        <w:spacing w:before="120"/>
        <w:ind w:left="660" w:right="136"/>
        <w:jc w:val="both"/>
        <w:rPr>
          <w:lang w:val="fr-CA"/>
        </w:rPr>
      </w:pPr>
      <w:r w:rsidRPr="00CD4E57">
        <w:rPr>
          <w:lang w:val="fr-CA"/>
        </w:rPr>
        <w:t xml:space="preserve">Enfin, l’employeur </w:t>
      </w:r>
      <w:r w:rsidRPr="00CD4E57">
        <w:rPr>
          <w:lang w:val="fr-CA"/>
        </w:rPr>
        <w:t>s’engage à communiquer le plus effacement possible – à toutes les personnes visées par cette politique – toutes les consignes qui pourront contribuer à la prévention et à l’atténuation de la transmission des maladies infectieuses.</w:t>
      </w:r>
    </w:p>
    <w:p w14:paraId="605C0AEF" w14:textId="77777777" w:rsidR="003F66AA" w:rsidRPr="00CD4E57" w:rsidRDefault="003F66AA">
      <w:pPr>
        <w:pStyle w:val="Corpsdetexte"/>
        <w:spacing w:before="2"/>
        <w:rPr>
          <w:sz w:val="20"/>
          <w:lang w:val="fr-CA"/>
        </w:rPr>
      </w:pPr>
    </w:p>
    <w:p w14:paraId="461C5F52" w14:textId="77777777" w:rsidR="003F66AA" w:rsidRDefault="00CD4E57">
      <w:pPr>
        <w:pStyle w:val="Titre1"/>
        <w:numPr>
          <w:ilvl w:val="0"/>
          <w:numId w:val="1"/>
        </w:numPr>
        <w:tabs>
          <w:tab w:val="left" w:pos="987"/>
        </w:tabs>
        <w:ind w:left="986"/>
        <w:jc w:val="both"/>
      </w:pPr>
      <w:r>
        <w:pict w14:anchorId="4F3DA6F5">
          <v:group id="_x0000_s1026" style="position:absolute;left:0;text-align:left;margin-left:70.5pt;margin-top:9.4pt;width:472.3pt;height:403.15pt;z-index:-251659264;mso-position-horizontal-relative:page" coordorigin="1410,188" coordsize="9446,8063">
            <v:shape id="_x0000_s1031" style="position:absolute;left:1927;top:187;width:8004;height:7998" coordorigin="1928,188" coordsize="8004,7998" o:spt="100" adj="0,,0" path="m4245,7627r-1,-8l4242,7610r-6,-10l4231,7591r-5,-9l4219,7572r-8,-10l4202,7552r-10,-11l4182,7530r-12,-12l4157,7505r-13,-12l4132,7483r-10,-10l4112,7466r-9,-7l4094,7454r-8,-5l4076,7445r-8,-2l4060,7442r-8,l4046,7445r-4,4l3609,7883,2976,7250r190,-190l3347,6879r2,-6l3350,6865r,-6l3348,6850r-4,-9l3340,6833r-5,-8l3328,6817r-8,-10l3311,6797r-9,-11l3291,6775r-12,-12l3266,6750r-12,-11l3243,6729r-10,-10l3223,6711r-9,-7l3205,6699r-8,-5l3188,6690r-10,-3l3170,6686r-8,l3156,6689r-370,371l2231,6505r431,-432l2665,6068r,-9l2665,6052r-3,-8l2656,6033r-4,-8l2646,6017r-6,-10l2632,5997r-9,-10l2613,5976r-10,-11l2591,5953r-13,-13l2565,5928r-11,-10l2543,5908r-10,-7l2524,5894r-9,-5l2507,5884r-11,-6l2488,5875r-7,l2473,5875r-6,3l1944,6400r-8,11l1930,6424r-2,16l1928,6457r6,21l1945,6501r17,24l1986,6550,3563,8128r26,23l3613,8168r22,11l3655,8184r18,1l3689,8183r13,-5l3713,8169r287,-286l4237,7645r5,-5l4245,7635r,-8m5198,6675r,-10l5196,6654r-7,-10l5176,6632r-12,-8l5151,6616r-17,-9l4563,6339,4000,6075r-37,-79l3933,5933r-66,-142l3637,5294r-67,-142l3537,5081r-33,-71l3493,4991r-9,-16l3475,4961r-9,-12l3455,4936r-10,-6l3434,4927r-12,-2l3410,4929r-14,8l3387,4945r-11,9l3364,4965r-13,12l3339,4989r-10,11l3320,5009r-7,9l3305,5028r-5,11l3298,5046r-2,11l3296,5065r3,8l3303,5082r4,11l3311,5102r36,74l3383,5251r36,74l3530,5559r138,289l3704,5922r36,74l2843,5570r-10,-4l2823,5563r-10,-4l2805,5556r-9,1l2786,5558r-8,4l2766,5567r-12,10l2745,5585r-11,9l2723,5605r-12,12l2698,5631r-12,13l2676,5656r-8,10l2658,5679r-5,12l2656,5702r3,8l2664,5719r8,8l2682,5734r11,8l2707,5751r17,10l2743,5771r1071,501l3849,6346r34,74l3952,6568r239,519l4260,7236r35,74l4329,7383r10,20l4347,7419r9,14l4364,7444r11,14l4385,7464r11,3l4407,7470r12,-2l4433,7460r10,-8l4454,7443r12,-11l4480,7419r12,-12l4502,7396r9,-10l4519,7377r8,-11l4533,7354r2,-10l4538,7336r,-9l4536,7319r-2,-9l4531,7300r-6,-11l4489,7216r-35,-73l4348,6924,4173,6558r-70,-146l4067,6339r947,461l5025,6806r9,4l5042,6810r8,3l5059,6812r10,-2l5079,6809r10,-5l5101,6795r9,-7l5120,6778r12,-11l5144,6754r14,-14l5170,6727r10,-11l5188,6705r5,-10l5196,6685r2,-10m5987,5884r-1,-7l5984,5868r-5,-11l5974,5849r-6,-10l5961,5830r-8,-10l5944,5810r-9,-11l5924,5788r-12,-12l5899,5763r-12,-12l5875,5740r-11,-9l5855,5723r-10,-6l5837,5711r-9,-4l5819,5702r-9,-2l5803,5700r-9,l5789,5703r-438,437l4718,5507r190,-190l5089,5136r3,-5l5092,5122r1,-6l5091,5108r-5,-10l5082,5091r-5,-8l5070,5074r-7,-10l5054,5054r-10,-10l5034,5032r-12,-12l5009,5008r-12,-12l4985,4986r-10,-9l4965,4969r-9,-7l4948,4956r-8,-4l4931,4948r-11,-4l4913,4943r-8,l4899,4946r-371,371l3973,4762r432,-431l4408,4325r,-8l4407,4309r-3,-8l4399,4291r-5,-8l4389,4274r-7,-9l4374,4255r-9,-11l4356,4234r-11,-12l4334,4210r-13,-12l4308,4186r-12,-11l4285,4166r-10,-8l4266,4152r-8,-6l4250,4142r-11,-6l4231,4133r-8,-1l4215,4132r-6,3l3687,4658r-9,11l3673,4682r-3,15l3671,4715r5,21l3687,4758r18,24l3728,4808,5306,6385r25,24l5355,6426r22,11l5397,6441r18,2l5431,6440r14,-5l5455,6427r287,-287l5984,5898r3,-6l5987,5884m7418,4443r-3,-8l7412,4427r-6,-8l6004,3017,5772,2786r-14,-14l5744,2760r-13,-10l5718,2741r-12,-5l5694,2731r-11,-5l5672,2722r-15,-2l5645,2719r-12,4l5621,2726r-10,7l5602,2742r-93,93l5499,2846r-8,11l5484,2869r-6,11l5475,2893r-2,13l5472,2920r1,14l5476,2951r5,17l5487,2986r8,19l5505,3026r11,22l5529,3071r16,24l5628,3234r257,434l6123,4071r207,348l6496,4697r-4,4l6029,4419,5195,3914,4876,3720r-21,-13l4835,3697r-19,-10l4797,3680r-17,-6l4762,3670r-17,-2l4728,3668r-15,1l4697,3673r-14,5l4669,3685r-14,9l4641,3705r-14,13l4538,3807r-10,13l4522,3835r-3,18l4520,3873r7,23l4539,3920r19,26l4584,3974,6217,5607r8,6l6233,5616r7,4l6248,5621r8,-3l6265,5617r11,-5l6288,5605r8,-6l6305,5592r10,-9l6325,5573r10,-10l6344,5553r8,-10l6359,5534r6,-12l6369,5513r2,-10l6374,5494r,-8l6371,5478r-3,-8l6362,5462,4815,3915r,l4816,3914r,l5636,4419r1096,674l6738,5098r8,3l6753,5101r7,2l6768,5103r9,-3l6787,5098r10,-4l6806,5087r8,-6l6822,5075r9,-8l6839,5059r8,-8l6855,5043r7,-7l6868,5028r6,-9l6879,5009r2,-10l6884,4990r,-8l6883,4974r-1,-6l6879,4960,6722,4701,6552,4419,6343,4070r-93,-156l6102,3668,5795,3157r-84,-138l5713,3017,7253,4558r7,6l7268,4570r16,6l7292,4577r8,-3l7309,4573r11,-5l7332,4561r8,-6l7349,4548r10,-9l7369,4529r10,-10l7388,4509r7,-9l7402,4491r6,-12l7413,4470r1,-10l7417,4451r1,-8m7853,4007r-3,-8l7847,3991r-6,-8l7198,3339r124,-124l7368,3164r13,-17l7406,3111r29,-55l7456,2999r12,-57l7473,2883r-1,-61l7463,2760r-17,-63l7424,2633r-30,-66l7358,2501r-44,-66l7265,2368r-40,-47l7225,2806r-1,37l7218,2879r-11,35l7189,2949r-23,34l7136,3016r-131,131l6295,2437r135,-134l6449,2285r21,-18l6492,2251r24,-15l6542,2223r29,-10l6603,2207r34,-2l6675,2207r41,9l6760,2231r47,20l6856,2279r50,35l6958,2357r54,50l7050,2447r34,40l7115,2528r28,41l7167,2610r20,41l7203,2691r11,38l7222,2768r3,38l7225,2321r-16,-19l7146,2235r-32,-30l7096,2187r-50,-43l6996,2104r-50,-35l6896,2039r-49,-26l6799,1992r-48,-18l6704,1960r-47,-9l6611,1946r-45,-1l6524,1948r-39,7l6449,1964r-32,12l6389,1991r-25,15l6340,2020r-20,13l6302,2048r-19,15l6265,2080r-18,17l6013,2331r-9,12l5999,2358r-3,17l5997,2394r6,21l6015,2438r18,25l6057,2490,7696,4129r8,5l7720,4140r7,1l7736,4138r10,-2l7756,4131r12,-6l7777,4119r9,-8l7795,4103r11,-10l7816,4082r8,-10l7832,4063r6,-8l7845,4043r4,-10l7851,4023r2,-8l7853,4007m9162,2706r,-7l9160,2690r-8,-12l9148,2669r-7,-9l9134,2651r-8,-10l9117,2631r-10,-11l9095,2607r-12,-13l9070,2582r-13,-12l9045,2559r-10,-9l9025,2542r-10,-8l9006,2528r-8,-5l8989,2519r-10,-4l8971,2515r-8,l8957,2518r-5,5l8560,2915,7024,1378r-8,-6l7000,1366r-7,l6983,1367r-9,4l6964,1375r-12,6l6944,1388r-9,7l6925,1404r-11,10l6905,1424r-9,10l6889,1443r-7,8l6876,1463r-5,11l6868,1482r-2,10l6866,1500r3,8l6872,1516r6,8l8523,3168r26,24l8572,3209r22,11l8614,3224r19,1l8648,3223r14,-5l8673,3210r294,-295l9156,2726r5,-5l9162,2714r,-8m9932,1940r-1,-8l9929,1923r-6,-10l9918,1904r-6,-9l9905,1885r-8,-10l9889,1865r-10,-10l9868,1843r-11,-12l9844,1818r-13,-12l9819,1796r-10,-10l9799,1779r-9,-7l9781,1767r-8,-5l9763,1758r-9,-2l9747,1755r-8,l9733,1758r-4,4l9296,2196,8663,1563r190,-190l9033,1192r3,-6l9036,1178r1,-6l9035,1163r-4,-9l9027,1146r-5,-8l9015,1130r-8,-10l8998,1110r-9,-11l8978,1088r-12,-12l8953,1063r-12,-11l8930,1042r-10,-9l8910,1024r-9,-7l8892,1012r-8,-5l8875,1003r-10,-3l8857,999r-8,l8843,1002r-370,371l7918,818,8345,390r4,-4l8352,381r,-9l8351,365r-2,-8l8343,346r-4,-7l8333,330r-7,-10l8319,310r-9,-10l8300,289r-10,-11l8278,266r-13,-13l8252,241r-12,-10l8230,221r-10,-7l8211,207r-9,-5l8194,197r-11,-6l8175,189r-7,-1l8159,188r-5,3l8150,195,7631,713r-8,11l7617,738r-2,15l7615,770r6,21l7632,814r17,24l7673,863,9250,2441r26,23l9300,2481r21,11l9342,2497r18,1l9376,2496r13,-5l9400,2482r286,-286l9929,1954r3,-6l9932,1940e" fillcolor="silver" stroked="f">
              <v:fill opacity="32896f"/>
              <v:stroke joinstyle="round"/>
              <v:formulas/>
              <v:path arrowok="t" o:connecttype="segments"/>
            </v:shape>
            <v:line id="_x0000_s1030" style="position:absolute" from="1410,424" to="10855,424" strokecolor="#3da2ca" strokeweight=".96pt"/>
            <v:line id="_x0000_s1029" style="position:absolute" from="1410,2092" to="10855,2092" strokecolor="#3da2ca" strokeweight=".96pt"/>
            <v:line id="_x0000_s1028" style="position:absolute" from="1410,4565" to="10855,4565" strokecolor="#3da2ca" strokeweight=".96pt"/>
            <v:line id="_x0000_s1027" style="position:absolute" from="1410,8240" to="10855,8240" strokecolor="#3da2ca" strokeweight=".96pt"/>
            <w10:wrap anchorx="page"/>
          </v:group>
        </w:pict>
      </w:r>
      <w:r>
        <w:rPr>
          <w:color w:val="282F66"/>
          <w:spacing w:val="3"/>
        </w:rPr>
        <w:t>Champ</w:t>
      </w:r>
      <w:r>
        <w:rPr>
          <w:color w:val="282F66"/>
          <w:spacing w:val="8"/>
        </w:rPr>
        <w:t xml:space="preserve"> </w:t>
      </w:r>
      <w:r>
        <w:rPr>
          <w:color w:val="282F66"/>
          <w:spacing w:val="4"/>
        </w:rPr>
        <w:t>d’applicatio</w:t>
      </w:r>
      <w:r>
        <w:rPr>
          <w:color w:val="282F66"/>
          <w:spacing w:val="4"/>
        </w:rPr>
        <w:t>n</w:t>
      </w:r>
    </w:p>
    <w:p w14:paraId="4981A73A" w14:textId="77777777" w:rsidR="003F66AA" w:rsidRPr="00CD4E57" w:rsidRDefault="00CD4E57">
      <w:pPr>
        <w:pStyle w:val="Corpsdetexte"/>
        <w:spacing w:before="178"/>
        <w:ind w:left="660" w:right="134"/>
        <w:jc w:val="both"/>
        <w:rPr>
          <w:lang w:val="fr-CA"/>
        </w:rPr>
      </w:pPr>
      <w:r w:rsidRPr="00CD4E57">
        <w:rPr>
          <w:lang w:val="fr-CA"/>
        </w:rPr>
        <w:t xml:space="preserve">Cette politique de prévention des maladies infectieuses s’applique à toutes les personnes à qui l’employeur donne accès au lieu de travail, et ce, 24 heures par jour, tant en semaine que la fin de semaine. Cette politique s’applique ainsi aux : employés </w:t>
      </w:r>
      <w:r w:rsidRPr="00CD4E57">
        <w:rPr>
          <w:lang w:val="fr-CA"/>
        </w:rPr>
        <w:t>à temps plein et occasionnels, employés contractuels, employés permanents et temporaires, sous-traitants et fournisseurs.</w:t>
      </w:r>
    </w:p>
    <w:p w14:paraId="0DF93F21" w14:textId="77777777" w:rsidR="003F66AA" w:rsidRPr="00CD4E57" w:rsidRDefault="003F66AA">
      <w:pPr>
        <w:pStyle w:val="Corpsdetexte"/>
        <w:spacing w:before="1"/>
        <w:rPr>
          <w:sz w:val="20"/>
          <w:lang w:val="fr-CA"/>
        </w:rPr>
      </w:pPr>
    </w:p>
    <w:p w14:paraId="2DF78D69" w14:textId="77777777" w:rsidR="003F66AA" w:rsidRDefault="00CD4E57">
      <w:pPr>
        <w:pStyle w:val="Titre1"/>
        <w:numPr>
          <w:ilvl w:val="0"/>
          <w:numId w:val="1"/>
        </w:numPr>
        <w:tabs>
          <w:tab w:val="left" w:pos="987"/>
        </w:tabs>
        <w:spacing w:before="1"/>
        <w:ind w:left="986"/>
        <w:jc w:val="both"/>
      </w:pPr>
      <w:r>
        <w:rPr>
          <w:color w:val="282F66"/>
          <w:spacing w:val="4"/>
        </w:rPr>
        <w:t>Encadrement</w:t>
      </w:r>
      <w:r>
        <w:rPr>
          <w:color w:val="282F66"/>
          <w:spacing w:val="9"/>
        </w:rPr>
        <w:t xml:space="preserve"> </w:t>
      </w:r>
      <w:r>
        <w:rPr>
          <w:color w:val="282F66"/>
          <w:spacing w:val="3"/>
        </w:rPr>
        <w:t>légal</w:t>
      </w:r>
    </w:p>
    <w:p w14:paraId="0CF8C65F" w14:textId="77777777" w:rsidR="003F66AA" w:rsidRPr="00CD4E57" w:rsidRDefault="00CD4E57">
      <w:pPr>
        <w:pStyle w:val="Corpsdetexte"/>
        <w:spacing w:before="177"/>
        <w:ind w:left="660" w:right="137"/>
        <w:jc w:val="both"/>
        <w:rPr>
          <w:lang w:val="fr-CA"/>
        </w:rPr>
      </w:pPr>
      <w:r w:rsidRPr="00CD4E57">
        <w:rPr>
          <w:lang w:val="fr-CA"/>
        </w:rPr>
        <w:t xml:space="preserve">En période de pandémie, l’entreprise continuera à respecter les exigences légales prévues par la </w:t>
      </w:r>
      <w:r w:rsidRPr="00CD4E57">
        <w:rPr>
          <w:i/>
          <w:lang w:val="fr-CA"/>
        </w:rPr>
        <w:t xml:space="preserve">Loi sur la santé et la sécurité du travail </w:t>
      </w:r>
      <w:r w:rsidRPr="00CD4E57">
        <w:rPr>
          <w:lang w:val="fr-CA"/>
        </w:rPr>
        <w:t>(LSST). À ce sujet, rappelons que l’article 51 de la LSST indique que l’employeur doit prendre les mesures nécessair</w:t>
      </w:r>
      <w:r w:rsidRPr="00CD4E57">
        <w:rPr>
          <w:lang w:val="fr-CA"/>
        </w:rPr>
        <w:t>es pour protéger la santé et assurer la sécurité et l’intégrité physique du travailleur. Ainsi, l’employeur mettra en place les moyens pour respecter cette obligation légale.</w:t>
      </w:r>
    </w:p>
    <w:p w14:paraId="3EDEDA17" w14:textId="77777777" w:rsidR="003F66AA" w:rsidRPr="00CD4E57" w:rsidRDefault="00CD4E57">
      <w:pPr>
        <w:pStyle w:val="Corpsdetexte"/>
        <w:spacing w:before="121"/>
        <w:ind w:left="660" w:right="138"/>
        <w:jc w:val="both"/>
        <w:rPr>
          <w:lang w:val="fr-CA"/>
        </w:rPr>
      </w:pPr>
      <w:r w:rsidRPr="00CD4E57">
        <w:rPr>
          <w:lang w:val="fr-CA"/>
        </w:rPr>
        <w:t>Aussi, dans l’encadrement légal de cette politique, l’employé doit prendre les me</w:t>
      </w:r>
      <w:r w:rsidRPr="00CD4E57">
        <w:rPr>
          <w:lang w:val="fr-CA"/>
        </w:rPr>
        <w:t>sures nécessaires pour protéger sa santé, sa sécurité et son intégrité physique et veiller à ne pas mettre en danger la santé, la sécurité et intégrité physique des personnes qui se trouvent sur les lieux de travail ou à proximité.</w:t>
      </w:r>
    </w:p>
    <w:p w14:paraId="06618B50" w14:textId="77777777" w:rsidR="003F66AA" w:rsidRPr="00CD4E57" w:rsidRDefault="003F66AA">
      <w:pPr>
        <w:pStyle w:val="Corpsdetexte"/>
        <w:spacing w:before="1"/>
        <w:rPr>
          <w:sz w:val="20"/>
          <w:lang w:val="fr-CA"/>
        </w:rPr>
      </w:pPr>
    </w:p>
    <w:p w14:paraId="672A1F34" w14:textId="77777777" w:rsidR="003F66AA" w:rsidRDefault="00CD4E57">
      <w:pPr>
        <w:pStyle w:val="Titre1"/>
        <w:numPr>
          <w:ilvl w:val="0"/>
          <w:numId w:val="1"/>
        </w:numPr>
        <w:tabs>
          <w:tab w:val="left" w:pos="987"/>
        </w:tabs>
        <w:spacing w:before="1"/>
        <w:ind w:left="986"/>
        <w:jc w:val="both"/>
      </w:pPr>
      <w:proofErr w:type="spellStart"/>
      <w:r>
        <w:rPr>
          <w:color w:val="282F66"/>
          <w:spacing w:val="3"/>
        </w:rPr>
        <w:t>Mesures</w:t>
      </w:r>
      <w:proofErr w:type="spellEnd"/>
      <w:r>
        <w:rPr>
          <w:color w:val="282F66"/>
          <w:spacing w:val="3"/>
        </w:rPr>
        <w:t xml:space="preserve"> </w:t>
      </w:r>
      <w:r>
        <w:rPr>
          <w:color w:val="282F66"/>
          <w:spacing w:val="2"/>
        </w:rPr>
        <w:t>de</w:t>
      </w:r>
      <w:r>
        <w:rPr>
          <w:color w:val="282F66"/>
          <w:spacing w:val="14"/>
        </w:rPr>
        <w:t xml:space="preserve"> </w:t>
      </w:r>
      <w:proofErr w:type="spellStart"/>
      <w:r>
        <w:rPr>
          <w:color w:val="282F66"/>
          <w:spacing w:val="3"/>
        </w:rPr>
        <w:t>prévention</w:t>
      </w:r>
      <w:proofErr w:type="spellEnd"/>
    </w:p>
    <w:p w14:paraId="55FBEEFF" w14:textId="77777777" w:rsidR="003F66AA" w:rsidRDefault="00CD4E57">
      <w:pPr>
        <w:pStyle w:val="Corpsdetexte"/>
        <w:spacing w:before="178"/>
        <w:ind w:left="660" w:right="140"/>
        <w:jc w:val="both"/>
      </w:pPr>
      <w:r w:rsidRPr="00CD4E57">
        <w:rPr>
          <w:lang w:val="fr-CA"/>
        </w:rPr>
        <w:t>L</w:t>
      </w:r>
      <w:r w:rsidRPr="00CD4E57">
        <w:rPr>
          <w:lang w:val="fr-CA"/>
        </w:rPr>
        <w:t>’entreprise s’engage à maintenir, voire à augmenter le nombre de mesures visant à réduire le risque de propagation de maladies infectieuses – particulièrement en période critique. En plus d’affichage aux endroits stratégiques, tous les employés visés par c</w:t>
      </w:r>
      <w:r w:rsidRPr="00CD4E57">
        <w:rPr>
          <w:lang w:val="fr-CA"/>
        </w:rPr>
        <w:t xml:space="preserve">ette politique seront informés par leur superviseur des mesures de prévention : tous devront les respecter. </w:t>
      </w:r>
      <w:proofErr w:type="spellStart"/>
      <w:r>
        <w:t>Voici</w:t>
      </w:r>
      <w:proofErr w:type="spellEnd"/>
      <w:r>
        <w:t xml:space="preserve">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d’hygiène</w:t>
      </w:r>
      <w:proofErr w:type="spellEnd"/>
      <w:r>
        <w:t xml:space="preserve"> </w:t>
      </w:r>
      <w:proofErr w:type="spellStart"/>
      <w:r>
        <w:t>appliquées</w:t>
      </w:r>
      <w:proofErr w:type="spellEnd"/>
      <w:r>
        <w:t xml:space="preserve"> par </w:t>
      </w:r>
      <w:proofErr w:type="spellStart"/>
      <w:proofErr w:type="gramStart"/>
      <w:r>
        <w:t>l’employeur</w:t>
      </w:r>
      <w:proofErr w:type="spellEnd"/>
      <w:r>
        <w:t xml:space="preserve"> :</w:t>
      </w:r>
      <w:proofErr w:type="gramEnd"/>
    </w:p>
    <w:p w14:paraId="3D0C9610" w14:textId="77777777" w:rsidR="003F66AA" w:rsidRDefault="00CD4E57">
      <w:pPr>
        <w:pStyle w:val="Paragraphedeliste"/>
        <w:numPr>
          <w:ilvl w:val="1"/>
          <w:numId w:val="1"/>
        </w:numPr>
        <w:tabs>
          <w:tab w:val="left" w:pos="1086"/>
        </w:tabs>
        <w:spacing w:before="120"/>
        <w:ind w:right="138"/>
        <w:rPr>
          <w:sz w:val="19"/>
        </w:rPr>
      </w:pPr>
      <w:r w:rsidRPr="00CD4E57">
        <w:rPr>
          <w:sz w:val="19"/>
          <w:lang w:val="fr-CA"/>
        </w:rPr>
        <w:t xml:space="preserve">Tous les lavabos et éviers sont munis de savon et d’essuie-tout. </w:t>
      </w:r>
      <w:proofErr w:type="spellStart"/>
      <w:r>
        <w:rPr>
          <w:sz w:val="19"/>
        </w:rPr>
        <w:t>L’approvisionnement</w:t>
      </w:r>
      <w:proofErr w:type="spellEnd"/>
      <w:r>
        <w:rPr>
          <w:sz w:val="19"/>
        </w:rPr>
        <w:t xml:space="preserve"> </w:t>
      </w:r>
      <w:r>
        <w:rPr>
          <w:sz w:val="19"/>
        </w:rPr>
        <w:t xml:space="preserve">sera </w:t>
      </w:r>
      <w:proofErr w:type="spellStart"/>
      <w:r>
        <w:rPr>
          <w:sz w:val="19"/>
        </w:rPr>
        <w:t>assuré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avant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chaque</w:t>
      </w:r>
      <w:proofErr w:type="spellEnd"/>
      <w:r>
        <w:rPr>
          <w:sz w:val="19"/>
        </w:rPr>
        <w:t xml:space="preserve"> quart de</w:t>
      </w:r>
      <w:r>
        <w:rPr>
          <w:spacing w:val="-3"/>
          <w:sz w:val="19"/>
        </w:rPr>
        <w:t xml:space="preserve"> </w:t>
      </w:r>
      <w:r>
        <w:rPr>
          <w:sz w:val="19"/>
        </w:rPr>
        <w:t>travail.</w:t>
      </w:r>
    </w:p>
    <w:p w14:paraId="26E5AD18" w14:textId="77777777" w:rsidR="003F66AA" w:rsidRPr="00CD4E57" w:rsidRDefault="00CD4E57">
      <w:pPr>
        <w:pStyle w:val="Paragraphedeliste"/>
        <w:numPr>
          <w:ilvl w:val="1"/>
          <w:numId w:val="1"/>
        </w:numPr>
        <w:tabs>
          <w:tab w:val="left" w:pos="1086"/>
        </w:tabs>
        <w:spacing w:line="238" w:lineRule="exact"/>
        <w:rPr>
          <w:sz w:val="19"/>
          <w:lang w:val="fr-CA"/>
        </w:rPr>
      </w:pPr>
      <w:r w:rsidRPr="00CD4E57">
        <w:rPr>
          <w:sz w:val="19"/>
          <w:lang w:val="fr-CA"/>
        </w:rPr>
        <w:t>Le lavage des mains est requis avant d’accéder aux aires de travail ainsi qu’à la</w:t>
      </w:r>
      <w:r w:rsidRPr="00CD4E57">
        <w:rPr>
          <w:spacing w:val="-12"/>
          <w:sz w:val="19"/>
          <w:lang w:val="fr-CA"/>
        </w:rPr>
        <w:t xml:space="preserve"> </w:t>
      </w:r>
      <w:r w:rsidRPr="00CD4E57">
        <w:rPr>
          <w:sz w:val="19"/>
          <w:lang w:val="fr-CA"/>
        </w:rPr>
        <w:t>cafétéria.</w:t>
      </w:r>
    </w:p>
    <w:p w14:paraId="542E3DEB" w14:textId="77777777" w:rsidR="003F66AA" w:rsidRPr="00CD4E57" w:rsidRDefault="00CD4E57">
      <w:pPr>
        <w:pStyle w:val="Paragraphedeliste"/>
        <w:numPr>
          <w:ilvl w:val="1"/>
          <w:numId w:val="1"/>
        </w:numPr>
        <w:tabs>
          <w:tab w:val="left" w:pos="1086"/>
        </w:tabs>
        <w:rPr>
          <w:sz w:val="19"/>
          <w:lang w:val="fr-CA"/>
        </w:rPr>
      </w:pPr>
      <w:r w:rsidRPr="00CD4E57">
        <w:rPr>
          <w:sz w:val="19"/>
          <w:lang w:val="fr-CA"/>
        </w:rPr>
        <w:t>Les lieux de travail et les objets d’utilité commune sont nettoyés avant le début de chaque</w:t>
      </w:r>
      <w:r w:rsidRPr="00CD4E57">
        <w:rPr>
          <w:spacing w:val="-13"/>
          <w:sz w:val="19"/>
          <w:lang w:val="fr-CA"/>
        </w:rPr>
        <w:t xml:space="preserve"> </w:t>
      </w:r>
      <w:r w:rsidRPr="00CD4E57">
        <w:rPr>
          <w:sz w:val="19"/>
          <w:lang w:val="fr-CA"/>
        </w:rPr>
        <w:t>quart.</w:t>
      </w:r>
    </w:p>
    <w:p w14:paraId="0D0A5629" w14:textId="77777777" w:rsidR="003F66AA" w:rsidRPr="00CD4E57" w:rsidRDefault="00CD4E57">
      <w:pPr>
        <w:pStyle w:val="Paragraphedeliste"/>
        <w:numPr>
          <w:ilvl w:val="1"/>
          <w:numId w:val="1"/>
        </w:numPr>
        <w:tabs>
          <w:tab w:val="left" w:pos="1086"/>
        </w:tabs>
        <w:rPr>
          <w:sz w:val="19"/>
          <w:lang w:val="fr-CA"/>
        </w:rPr>
      </w:pPr>
      <w:r w:rsidRPr="00CD4E57">
        <w:rPr>
          <w:sz w:val="19"/>
          <w:lang w:val="fr-CA"/>
        </w:rPr>
        <w:t>Les postes de travail</w:t>
      </w:r>
      <w:r w:rsidRPr="00CD4E57">
        <w:rPr>
          <w:sz w:val="19"/>
          <w:lang w:val="fr-CA"/>
        </w:rPr>
        <w:t xml:space="preserve"> partagés feront l’objet d’une attention</w:t>
      </w:r>
      <w:r w:rsidRPr="00CD4E57">
        <w:rPr>
          <w:spacing w:val="-9"/>
          <w:sz w:val="19"/>
          <w:lang w:val="fr-CA"/>
        </w:rPr>
        <w:t xml:space="preserve"> </w:t>
      </w:r>
      <w:r w:rsidRPr="00CD4E57">
        <w:rPr>
          <w:sz w:val="19"/>
          <w:lang w:val="fr-CA"/>
        </w:rPr>
        <w:t>particulière.</w:t>
      </w:r>
    </w:p>
    <w:p w14:paraId="60982B0C" w14:textId="77777777" w:rsidR="003F66AA" w:rsidRPr="00CD4E57" w:rsidRDefault="00CD4E57">
      <w:pPr>
        <w:pStyle w:val="Paragraphedeliste"/>
        <w:numPr>
          <w:ilvl w:val="1"/>
          <w:numId w:val="1"/>
        </w:numPr>
        <w:tabs>
          <w:tab w:val="left" w:pos="1086"/>
        </w:tabs>
        <w:spacing w:before="1" w:line="238" w:lineRule="exact"/>
        <w:rPr>
          <w:sz w:val="19"/>
          <w:lang w:val="fr-CA"/>
        </w:rPr>
      </w:pPr>
      <w:r w:rsidRPr="00CD4E57">
        <w:rPr>
          <w:sz w:val="19"/>
          <w:lang w:val="fr-CA"/>
        </w:rPr>
        <w:t>Les équipements de protection pertinents seront distribués par les</w:t>
      </w:r>
      <w:r w:rsidRPr="00CD4E57">
        <w:rPr>
          <w:spacing w:val="-5"/>
          <w:sz w:val="19"/>
          <w:lang w:val="fr-CA"/>
        </w:rPr>
        <w:t xml:space="preserve"> </w:t>
      </w:r>
      <w:r w:rsidRPr="00CD4E57">
        <w:rPr>
          <w:sz w:val="19"/>
          <w:lang w:val="fr-CA"/>
        </w:rPr>
        <w:t>gestionnaires.</w:t>
      </w:r>
    </w:p>
    <w:p w14:paraId="48B8687D" w14:textId="77777777" w:rsidR="003F66AA" w:rsidRPr="00CD4E57" w:rsidRDefault="00CD4E57">
      <w:pPr>
        <w:pStyle w:val="Paragraphedeliste"/>
        <w:numPr>
          <w:ilvl w:val="1"/>
          <w:numId w:val="1"/>
        </w:numPr>
        <w:tabs>
          <w:tab w:val="left" w:pos="1086"/>
        </w:tabs>
        <w:ind w:right="135"/>
        <w:rPr>
          <w:sz w:val="19"/>
          <w:lang w:val="fr-CA"/>
        </w:rPr>
      </w:pPr>
      <w:r w:rsidRPr="00CD4E57">
        <w:rPr>
          <w:sz w:val="19"/>
          <w:lang w:val="fr-CA"/>
        </w:rPr>
        <w:t xml:space="preserve">L’employé qui se présente au travail avec des symptômes </w:t>
      </w:r>
      <w:r w:rsidRPr="00CD4E57">
        <w:rPr>
          <w:spacing w:val="2"/>
          <w:sz w:val="19"/>
          <w:lang w:val="fr-CA"/>
        </w:rPr>
        <w:t xml:space="preserve">de </w:t>
      </w:r>
      <w:r w:rsidRPr="00CD4E57">
        <w:rPr>
          <w:sz w:val="19"/>
          <w:lang w:val="fr-CA"/>
        </w:rPr>
        <w:t>maladie infectieuse pourrait être retourné chez</w:t>
      </w:r>
      <w:r w:rsidRPr="00CD4E57">
        <w:rPr>
          <w:spacing w:val="-2"/>
          <w:sz w:val="19"/>
          <w:lang w:val="fr-CA"/>
        </w:rPr>
        <w:t xml:space="preserve"> </w:t>
      </w:r>
      <w:r w:rsidRPr="00CD4E57">
        <w:rPr>
          <w:sz w:val="19"/>
          <w:lang w:val="fr-CA"/>
        </w:rPr>
        <w:t>lui.</w:t>
      </w:r>
    </w:p>
    <w:p w14:paraId="658D6A49" w14:textId="77777777" w:rsidR="003F66AA" w:rsidRPr="00CD4E57" w:rsidRDefault="003F66AA">
      <w:pPr>
        <w:pStyle w:val="Corpsdetexte"/>
        <w:spacing w:before="2"/>
        <w:rPr>
          <w:sz w:val="20"/>
          <w:lang w:val="fr-CA"/>
        </w:rPr>
      </w:pPr>
    </w:p>
    <w:p w14:paraId="7D335B6A" w14:textId="77777777" w:rsidR="003F66AA" w:rsidRDefault="00CD4E57">
      <w:pPr>
        <w:pStyle w:val="Titre1"/>
        <w:numPr>
          <w:ilvl w:val="0"/>
          <w:numId w:val="1"/>
        </w:numPr>
        <w:tabs>
          <w:tab w:val="left" w:pos="987"/>
        </w:tabs>
        <w:ind w:left="986"/>
        <w:jc w:val="both"/>
      </w:pPr>
      <w:proofErr w:type="spellStart"/>
      <w:proofErr w:type="gramStart"/>
      <w:r>
        <w:rPr>
          <w:color w:val="282F66"/>
          <w:spacing w:val="3"/>
        </w:rPr>
        <w:t>Attentes</w:t>
      </w:r>
      <w:proofErr w:type="spellEnd"/>
      <w:r>
        <w:rPr>
          <w:color w:val="282F66"/>
          <w:spacing w:val="3"/>
        </w:rPr>
        <w:t xml:space="preserve"> </w:t>
      </w:r>
      <w:r>
        <w:rPr>
          <w:color w:val="282F66"/>
        </w:rPr>
        <w:t>:</w:t>
      </w:r>
      <w:proofErr w:type="gramEnd"/>
      <w:r>
        <w:rPr>
          <w:color w:val="282F66"/>
        </w:rPr>
        <w:t xml:space="preserve"> </w:t>
      </w:r>
      <w:proofErr w:type="spellStart"/>
      <w:r>
        <w:rPr>
          <w:color w:val="282F66"/>
          <w:spacing w:val="3"/>
        </w:rPr>
        <w:t>rôles</w:t>
      </w:r>
      <w:proofErr w:type="spellEnd"/>
      <w:r>
        <w:rPr>
          <w:color w:val="282F66"/>
          <w:spacing w:val="3"/>
        </w:rPr>
        <w:t xml:space="preserve"> </w:t>
      </w:r>
      <w:r>
        <w:rPr>
          <w:color w:val="282F66"/>
        </w:rPr>
        <w:t>et</w:t>
      </w:r>
      <w:r>
        <w:rPr>
          <w:color w:val="282F66"/>
          <w:spacing w:val="34"/>
        </w:rPr>
        <w:t xml:space="preserve"> </w:t>
      </w:r>
      <w:proofErr w:type="spellStart"/>
      <w:r>
        <w:rPr>
          <w:color w:val="282F66"/>
          <w:spacing w:val="4"/>
        </w:rPr>
        <w:t>responsabilités</w:t>
      </w:r>
      <w:proofErr w:type="spellEnd"/>
    </w:p>
    <w:p w14:paraId="3646FD1A" w14:textId="77777777" w:rsidR="003F66AA" w:rsidRPr="00CD4E57" w:rsidRDefault="00CD4E57">
      <w:pPr>
        <w:pStyle w:val="Corpsdetexte"/>
        <w:spacing w:before="178"/>
        <w:ind w:left="660" w:right="133"/>
        <w:jc w:val="both"/>
        <w:rPr>
          <w:lang w:val="fr-CA"/>
        </w:rPr>
      </w:pPr>
      <w:r w:rsidRPr="00CD4E57">
        <w:rPr>
          <w:lang w:val="fr-CA"/>
        </w:rPr>
        <w:t>L’employeur a établi un partage des rôles et des responsabilités en cas de pandémie pouvant atteindre le lieu de travail. Ces responsabilités sont réparties à travers tous les niveaux hiérarchiques de l’entreprise : du d</w:t>
      </w:r>
      <w:r w:rsidRPr="00CD4E57">
        <w:rPr>
          <w:lang w:val="fr-CA"/>
        </w:rPr>
        <w:t>irecteur général aux employés. La direction de chaque division doit s’assurer que chacun exerce ses responsabilités avec rigueur. Pour leur part, les gestionnaires doivent voir au respect des mesures suivantes</w:t>
      </w:r>
      <w:r w:rsidRPr="00CD4E57">
        <w:rPr>
          <w:spacing w:val="-28"/>
          <w:lang w:val="fr-CA"/>
        </w:rPr>
        <w:t xml:space="preserve"> </w:t>
      </w:r>
      <w:r w:rsidRPr="00CD4E57">
        <w:rPr>
          <w:lang w:val="fr-CA"/>
        </w:rPr>
        <w:t>:</w:t>
      </w:r>
    </w:p>
    <w:p w14:paraId="5C689134" w14:textId="77777777" w:rsidR="003F66AA" w:rsidRPr="00CD4E57" w:rsidRDefault="00CD4E57">
      <w:pPr>
        <w:pStyle w:val="Paragraphedeliste"/>
        <w:numPr>
          <w:ilvl w:val="1"/>
          <w:numId w:val="1"/>
        </w:numPr>
        <w:tabs>
          <w:tab w:val="left" w:pos="1086"/>
        </w:tabs>
        <w:spacing w:before="119"/>
        <w:rPr>
          <w:sz w:val="19"/>
          <w:lang w:val="fr-CA"/>
        </w:rPr>
      </w:pPr>
      <w:r w:rsidRPr="00CD4E57">
        <w:rPr>
          <w:sz w:val="19"/>
          <w:lang w:val="fr-CA"/>
        </w:rPr>
        <w:t>Rappel régulier des mesures de prévention et</w:t>
      </w:r>
      <w:r w:rsidRPr="00CD4E57">
        <w:rPr>
          <w:sz w:val="19"/>
          <w:lang w:val="fr-CA"/>
        </w:rPr>
        <w:t xml:space="preserve"> d’hygiène en</w:t>
      </w:r>
      <w:r w:rsidRPr="00CD4E57">
        <w:rPr>
          <w:spacing w:val="-6"/>
          <w:sz w:val="19"/>
          <w:lang w:val="fr-CA"/>
        </w:rPr>
        <w:t xml:space="preserve"> </w:t>
      </w:r>
      <w:r w:rsidRPr="00CD4E57">
        <w:rPr>
          <w:sz w:val="19"/>
          <w:lang w:val="fr-CA"/>
        </w:rPr>
        <w:t>vigueur.</w:t>
      </w:r>
    </w:p>
    <w:p w14:paraId="32977206" w14:textId="77777777" w:rsidR="003F66AA" w:rsidRPr="00CD4E57" w:rsidRDefault="00CD4E57">
      <w:pPr>
        <w:pStyle w:val="Paragraphedeliste"/>
        <w:numPr>
          <w:ilvl w:val="1"/>
          <w:numId w:val="1"/>
        </w:numPr>
        <w:tabs>
          <w:tab w:val="left" w:pos="1086"/>
        </w:tabs>
        <w:spacing w:before="1"/>
        <w:rPr>
          <w:sz w:val="19"/>
          <w:lang w:val="fr-CA"/>
        </w:rPr>
      </w:pPr>
      <w:r w:rsidRPr="00CD4E57">
        <w:rPr>
          <w:sz w:val="19"/>
          <w:lang w:val="fr-CA"/>
        </w:rPr>
        <w:t>Fourniture des équipements, produits et EPI requis pour minimiser les risques de</w:t>
      </w:r>
      <w:r w:rsidRPr="00CD4E57">
        <w:rPr>
          <w:spacing w:val="-13"/>
          <w:sz w:val="19"/>
          <w:lang w:val="fr-CA"/>
        </w:rPr>
        <w:t xml:space="preserve"> </w:t>
      </w:r>
      <w:r w:rsidRPr="00CD4E57">
        <w:rPr>
          <w:sz w:val="19"/>
          <w:lang w:val="fr-CA"/>
        </w:rPr>
        <w:t>contagion.</w:t>
      </w:r>
    </w:p>
    <w:p w14:paraId="76FE2CDD" w14:textId="77777777" w:rsidR="003F66AA" w:rsidRPr="00CD4E57" w:rsidRDefault="00CD4E57">
      <w:pPr>
        <w:pStyle w:val="Paragraphedeliste"/>
        <w:numPr>
          <w:ilvl w:val="1"/>
          <w:numId w:val="1"/>
        </w:numPr>
        <w:tabs>
          <w:tab w:val="left" w:pos="1086"/>
        </w:tabs>
        <w:rPr>
          <w:sz w:val="19"/>
          <w:lang w:val="fr-CA"/>
        </w:rPr>
      </w:pPr>
      <w:r w:rsidRPr="00CD4E57">
        <w:rPr>
          <w:sz w:val="19"/>
          <w:lang w:val="fr-CA"/>
        </w:rPr>
        <w:t>Respect des mesures d’hygiène de son équipe de</w:t>
      </w:r>
      <w:r w:rsidRPr="00CD4E57">
        <w:rPr>
          <w:spacing w:val="-2"/>
          <w:sz w:val="19"/>
          <w:lang w:val="fr-CA"/>
        </w:rPr>
        <w:t xml:space="preserve"> </w:t>
      </w:r>
      <w:r w:rsidRPr="00CD4E57">
        <w:rPr>
          <w:sz w:val="19"/>
          <w:lang w:val="fr-CA"/>
        </w:rPr>
        <w:t>travail.</w:t>
      </w:r>
    </w:p>
    <w:p w14:paraId="100C0E94" w14:textId="77777777" w:rsidR="003F66AA" w:rsidRPr="00CD4E57" w:rsidRDefault="00CD4E57">
      <w:pPr>
        <w:pStyle w:val="Paragraphedeliste"/>
        <w:numPr>
          <w:ilvl w:val="1"/>
          <w:numId w:val="1"/>
        </w:numPr>
        <w:tabs>
          <w:tab w:val="left" w:pos="1086"/>
        </w:tabs>
        <w:rPr>
          <w:sz w:val="19"/>
          <w:lang w:val="fr-CA"/>
        </w:rPr>
      </w:pPr>
      <w:r w:rsidRPr="00CD4E57">
        <w:rPr>
          <w:sz w:val="19"/>
          <w:lang w:val="fr-CA"/>
        </w:rPr>
        <w:t>Aménagement de postes de travail respectant les normes de distanciation</w:t>
      </w:r>
      <w:r w:rsidRPr="00CD4E57">
        <w:rPr>
          <w:spacing w:val="-6"/>
          <w:sz w:val="19"/>
          <w:lang w:val="fr-CA"/>
        </w:rPr>
        <w:t xml:space="preserve"> </w:t>
      </w:r>
      <w:r w:rsidRPr="00CD4E57">
        <w:rPr>
          <w:sz w:val="19"/>
          <w:lang w:val="fr-CA"/>
        </w:rPr>
        <w:t>sociale.</w:t>
      </w:r>
    </w:p>
    <w:p w14:paraId="3997F3A5" w14:textId="77777777" w:rsidR="003F66AA" w:rsidRPr="00CD4E57" w:rsidRDefault="00CD4E57">
      <w:pPr>
        <w:pStyle w:val="Corpsdetexte"/>
        <w:spacing w:before="120"/>
        <w:ind w:left="660" w:right="135"/>
        <w:jc w:val="both"/>
        <w:rPr>
          <w:lang w:val="fr-CA"/>
        </w:rPr>
      </w:pPr>
      <w:r w:rsidRPr="00CD4E57">
        <w:rPr>
          <w:lang w:val="fr-CA"/>
        </w:rPr>
        <w:t>Les personnes visées par cette politique doivent informer leur superviseur s’ils présentent des symptômes associés à une maladie infectieuse.</w:t>
      </w:r>
    </w:p>
    <w:p w14:paraId="156ADD68" w14:textId="77777777" w:rsidR="003F66AA" w:rsidRPr="00CD4E57" w:rsidRDefault="003F66AA">
      <w:pPr>
        <w:pStyle w:val="Corpsdetexte"/>
        <w:rPr>
          <w:sz w:val="22"/>
          <w:lang w:val="fr-CA"/>
        </w:rPr>
      </w:pPr>
    </w:p>
    <w:p w14:paraId="3FBC97CD" w14:textId="77777777" w:rsidR="003F66AA" w:rsidRPr="00CD4E57" w:rsidRDefault="003F66AA">
      <w:pPr>
        <w:pStyle w:val="Corpsdetexte"/>
        <w:spacing w:before="1"/>
        <w:rPr>
          <w:sz w:val="30"/>
          <w:lang w:val="fr-CA"/>
        </w:rPr>
      </w:pPr>
    </w:p>
    <w:p w14:paraId="41187614" w14:textId="6C57BF01" w:rsidR="003F66AA" w:rsidRPr="00CD4E57" w:rsidRDefault="00CD4E57">
      <w:pPr>
        <w:tabs>
          <w:tab w:val="left" w:pos="3920"/>
          <w:tab w:val="left" w:pos="5056"/>
          <w:tab w:val="left" w:pos="8305"/>
        </w:tabs>
        <w:spacing w:before="1"/>
        <w:ind w:left="551"/>
        <w:rPr>
          <w:rFonts w:ascii="Freestyle Script"/>
          <w:i/>
          <w:sz w:val="36"/>
          <w:lang w:val="fr-CA"/>
        </w:rPr>
      </w:pPr>
      <w:r w:rsidRPr="00CD4E57">
        <w:rPr>
          <w:rFonts w:ascii="Freestyle Script"/>
          <w:i/>
          <w:spacing w:val="18"/>
          <w:sz w:val="36"/>
          <w:u w:val="single"/>
          <w:lang w:val="fr-CA"/>
        </w:rPr>
        <w:t xml:space="preserve"> </w:t>
      </w:r>
      <w:r>
        <w:rPr>
          <w:rFonts w:ascii="Freestyle Script"/>
          <w:i/>
          <w:sz w:val="36"/>
          <w:u w:val="single"/>
          <w:lang w:val="fr-CA"/>
        </w:rPr>
        <w:t>Martin Cormier</w:t>
      </w:r>
      <w:r w:rsidRPr="00CD4E57">
        <w:rPr>
          <w:rFonts w:ascii="Freestyle Script"/>
          <w:i/>
          <w:sz w:val="36"/>
          <w:u w:val="single"/>
          <w:lang w:val="fr-CA"/>
        </w:rPr>
        <w:tab/>
      </w:r>
      <w:r w:rsidRPr="00CD4E57">
        <w:rPr>
          <w:rFonts w:ascii="Freestyle Script"/>
          <w:i/>
          <w:sz w:val="36"/>
          <w:lang w:val="fr-CA"/>
        </w:rPr>
        <w:tab/>
      </w:r>
      <w:r w:rsidRPr="00CD4E57">
        <w:rPr>
          <w:rFonts w:ascii="Freestyle Script"/>
          <w:i/>
          <w:sz w:val="36"/>
          <w:u w:val="single"/>
          <w:lang w:val="fr-CA"/>
        </w:rPr>
        <w:t xml:space="preserve"> </w:t>
      </w:r>
      <w:r>
        <w:rPr>
          <w:rFonts w:ascii="Freestyle Script"/>
          <w:i/>
          <w:sz w:val="36"/>
          <w:u w:val="single"/>
          <w:lang w:val="fr-CA"/>
        </w:rPr>
        <w:t>25</w:t>
      </w:r>
      <w:r w:rsidRPr="00CD4E57">
        <w:rPr>
          <w:rFonts w:ascii="Freestyle Script"/>
          <w:i/>
          <w:sz w:val="36"/>
          <w:u w:val="single"/>
          <w:lang w:val="fr-CA"/>
        </w:rPr>
        <w:t xml:space="preserve"> </w:t>
      </w:r>
      <w:r>
        <w:rPr>
          <w:rFonts w:ascii="Freestyle Script"/>
          <w:i/>
          <w:sz w:val="36"/>
          <w:u w:val="single"/>
          <w:lang w:val="fr-CA"/>
        </w:rPr>
        <w:t>mars</w:t>
      </w:r>
      <w:r w:rsidRPr="00CD4E57">
        <w:rPr>
          <w:rFonts w:ascii="Freestyle Script"/>
          <w:i/>
          <w:spacing w:val="-7"/>
          <w:sz w:val="36"/>
          <w:u w:val="single"/>
          <w:lang w:val="fr-CA"/>
        </w:rPr>
        <w:t xml:space="preserve"> </w:t>
      </w:r>
      <w:r w:rsidRPr="00CD4E57">
        <w:rPr>
          <w:rFonts w:ascii="Freestyle Script"/>
          <w:i/>
          <w:sz w:val="36"/>
          <w:u w:val="single"/>
          <w:lang w:val="fr-CA"/>
        </w:rPr>
        <w:t>2020</w:t>
      </w:r>
      <w:r w:rsidRPr="00CD4E57">
        <w:rPr>
          <w:rFonts w:ascii="Freestyle Script"/>
          <w:i/>
          <w:sz w:val="36"/>
          <w:u w:val="single"/>
          <w:lang w:val="fr-CA"/>
        </w:rPr>
        <w:tab/>
      </w:r>
    </w:p>
    <w:p w14:paraId="6276B89A" w14:textId="77777777" w:rsidR="003F66AA" w:rsidRPr="00CD4E57" w:rsidRDefault="00CD4E57">
      <w:pPr>
        <w:pStyle w:val="Corpsdetexte"/>
        <w:tabs>
          <w:tab w:val="left" w:pos="5163"/>
        </w:tabs>
        <w:spacing w:before="37"/>
        <w:ind w:left="660"/>
        <w:jc w:val="both"/>
        <w:rPr>
          <w:lang w:val="fr-CA"/>
        </w:rPr>
      </w:pPr>
      <w:r w:rsidRPr="00CD4E57">
        <w:rPr>
          <w:lang w:val="fr-CA"/>
        </w:rPr>
        <w:t>Directeur</w:t>
      </w:r>
      <w:r w:rsidRPr="00CD4E57">
        <w:rPr>
          <w:spacing w:val="-2"/>
          <w:lang w:val="fr-CA"/>
        </w:rPr>
        <w:t xml:space="preserve"> </w:t>
      </w:r>
      <w:r w:rsidRPr="00CD4E57">
        <w:rPr>
          <w:lang w:val="fr-CA"/>
        </w:rPr>
        <w:t>général</w:t>
      </w:r>
      <w:r w:rsidRPr="00CD4E57">
        <w:rPr>
          <w:lang w:val="fr-CA"/>
        </w:rPr>
        <w:tab/>
        <w:t>Date</w:t>
      </w:r>
    </w:p>
    <w:p w14:paraId="7F94D5E4" w14:textId="77777777" w:rsidR="003F66AA" w:rsidRPr="00CD4E57" w:rsidRDefault="003F66AA">
      <w:pPr>
        <w:pStyle w:val="Corpsdetexte"/>
        <w:rPr>
          <w:sz w:val="20"/>
          <w:lang w:val="fr-CA"/>
        </w:rPr>
      </w:pPr>
    </w:p>
    <w:p w14:paraId="0BDE85E4" w14:textId="77777777" w:rsidR="003F66AA" w:rsidRPr="00CD4E57" w:rsidRDefault="003F66AA">
      <w:pPr>
        <w:pStyle w:val="Corpsdetexte"/>
        <w:rPr>
          <w:sz w:val="20"/>
          <w:lang w:val="fr-CA"/>
        </w:rPr>
      </w:pPr>
    </w:p>
    <w:p w14:paraId="72C32B41" w14:textId="77777777" w:rsidR="003F66AA" w:rsidRPr="00CD4E57" w:rsidRDefault="003F66AA">
      <w:pPr>
        <w:pStyle w:val="Corpsdetexte"/>
        <w:rPr>
          <w:sz w:val="20"/>
          <w:lang w:val="fr-CA"/>
        </w:rPr>
      </w:pPr>
    </w:p>
    <w:p w14:paraId="445F5BFE" w14:textId="77777777" w:rsidR="003F66AA" w:rsidRPr="00CD4E57" w:rsidRDefault="003F66AA">
      <w:pPr>
        <w:pStyle w:val="Corpsdetexte"/>
        <w:spacing w:before="3"/>
        <w:rPr>
          <w:sz w:val="18"/>
          <w:lang w:val="fr-CA"/>
        </w:rPr>
      </w:pPr>
    </w:p>
    <w:p w14:paraId="1958F106" w14:textId="735D6163" w:rsidR="003F66AA" w:rsidRPr="00CD4E57" w:rsidRDefault="00CD4E57">
      <w:pPr>
        <w:ind w:left="660"/>
        <w:rPr>
          <w:sz w:val="16"/>
          <w:lang w:val="fr-CA"/>
        </w:rPr>
      </w:pPr>
      <w:r>
        <w:rPr>
          <w:sz w:val="16"/>
          <w:lang w:val="fr-CA"/>
        </w:rPr>
        <w:t>4097</w:t>
      </w:r>
      <w:r w:rsidRPr="00CD4E57">
        <w:rPr>
          <w:sz w:val="16"/>
          <w:lang w:val="fr-CA"/>
        </w:rPr>
        <w:t xml:space="preserve">, </w:t>
      </w:r>
      <w:r>
        <w:rPr>
          <w:sz w:val="16"/>
          <w:lang w:val="fr-CA"/>
        </w:rPr>
        <w:t>boul. Saint-Jean-Baptiste</w:t>
      </w:r>
      <w:r w:rsidRPr="00CD4E57">
        <w:rPr>
          <w:sz w:val="16"/>
          <w:lang w:val="fr-CA"/>
        </w:rPr>
        <w:t xml:space="preserve">, bureau </w:t>
      </w:r>
      <w:r>
        <w:rPr>
          <w:sz w:val="16"/>
          <w:lang w:val="fr-CA"/>
        </w:rPr>
        <w:t>201</w:t>
      </w:r>
      <w:r w:rsidRPr="00CD4E57">
        <w:rPr>
          <w:sz w:val="16"/>
          <w:lang w:val="fr-CA"/>
        </w:rPr>
        <w:t>, Montréal (Québec)  H</w:t>
      </w:r>
      <w:r>
        <w:rPr>
          <w:sz w:val="16"/>
          <w:lang w:val="fr-CA"/>
        </w:rPr>
        <w:t>1B 5V3</w:t>
      </w:r>
    </w:p>
    <w:p w14:paraId="04232D2E" w14:textId="09C57D66" w:rsidR="003F66AA" w:rsidRPr="00CD4E57" w:rsidRDefault="00CD4E57">
      <w:pPr>
        <w:ind w:left="660"/>
        <w:rPr>
          <w:sz w:val="16"/>
          <w:lang w:val="fr-CA"/>
        </w:rPr>
      </w:pPr>
      <w:r w:rsidRPr="00CD4E57">
        <w:rPr>
          <w:sz w:val="16"/>
          <w:lang w:val="fr-CA"/>
        </w:rPr>
        <w:t>Téléphone</w:t>
      </w:r>
      <w:r w:rsidRPr="00CD4E57">
        <w:rPr>
          <w:spacing w:val="-4"/>
          <w:sz w:val="16"/>
          <w:lang w:val="fr-CA"/>
        </w:rPr>
        <w:t xml:space="preserve"> </w:t>
      </w:r>
      <w:r w:rsidRPr="00CD4E57">
        <w:rPr>
          <w:sz w:val="16"/>
          <w:lang w:val="fr-CA"/>
        </w:rPr>
        <w:t>:</w:t>
      </w:r>
      <w:r w:rsidRPr="00CD4E57">
        <w:rPr>
          <w:spacing w:val="-4"/>
          <w:sz w:val="16"/>
          <w:lang w:val="fr-CA"/>
        </w:rPr>
        <w:t xml:space="preserve"> </w:t>
      </w:r>
      <w:r w:rsidRPr="00CD4E57">
        <w:rPr>
          <w:sz w:val="16"/>
          <w:lang w:val="fr-CA"/>
        </w:rPr>
        <w:t>514</w:t>
      </w:r>
      <w:r w:rsidRPr="00CD4E57">
        <w:rPr>
          <w:spacing w:val="-1"/>
          <w:sz w:val="16"/>
          <w:lang w:val="fr-CA"/>
        </w:rPr>
        <w:t xml:space="preserve"> </w:t>
      </w:r>
      <w:r>
        <w:rPr>
          <w:spacing w:val="-1"/>
          <w:sz w:val="16"/>
          <w:lang w:val="fr-CA"/>
        </w:rPr>
        <w:t>645</w:t>
      </w:r>
      <w:r w:rsidRPr="00CD4E57">
        <w:rPr>
          <w:sz w:val="16"/>
          <w:lang w:val="fr-CA"/>
        </w:rPr>
        <w:t>-</w:t>
      </w:r>
      <w:r>
        <w:rPr>
          <w:sz w:val="16"/>
          <w:lang w:val="fr-CA"/>
        </w:rPr>
        <w:t>1113</w:t>
      </w:r>
      <w:r w:rsidRPr="00CD4E57">
        <w:rPr>
          <w:spacing w:val="-3"/>
          <w:sz w:val="16"/>
          <w:lang w:val="fr-CA"/>
        </w:rPr>
        <w:t xml:space="preserve"> </w:t>
      </w:r>
      <w:r w:rsidRPr="00CD4E57">
        <w:rPr>
          <w:b/>
          <w:color w:val="3DA2CA"/>
          <w:sz w:val="16"/>
          <w:lang w:val="fr-CA"/>
        </w:rPr>
        <w:t>|</w:t>
      </w:r>
      <w:r w:rsidRPr="00CD4E57">
        <w:rPr>
          <w:b/>
          <w:color w:val="3DA2CA"/>
          <w:spacing w:val="-4"/>
          <w:sz w:val="16"/>
          <w:lang w:val="fr-CA"/>
        </w:rPr>
        <w:t xml:space="preserve"> </w:t>
      </w:r>
      <w:r w:rsidRPr="00CD4E57">
        <w:rPr>
          <w:sz w:val="16"/>
          <w:lang w:val="fr-CA"/>
        </w:rPr>
        <w:t>Télécopieur</w:t>
      </w:r>
      <w:r w:rsidRPr="00CD4E57">
        <w:rPr>
          <w:spacing w:val="-2"/>
          <w:sz w:val="16"/>
          <w:lang w:val="fr-CA"/>
        </w:rPr>
        <w:t xml:space="preserve"> </w:t>
      </w:r>
      <w:r w:rsidRPr="00CD4E57">
        <w:rPr>
          <w:sz w:val="16"/>
          <w:lang w:val="fr-CA"/>
        </w:rPr>
        <w:t>:</w:t>
      </w:r>
      <w:r w:rsidRPr="00CD4E57">
        <w:rPr>
          <w:spacing w:val="-4"/>
          <w:sz w:val="16"/>
          <w:lang w:val="fr-CA"/>
        </w:rPr>
        <w:t xml:space="preserve"> </w:t>
      </w:r>
      <w:r w:rsidRPr="00CD4E57">
        <w:rPr>
          <w:sz w:val="16"/>
          <w:lang w:val="fr-CA"/>
        </w:rPr>
        <w:t>514</w:t>
      </w:r>
      <w:r w:rsidRPr="00CD4E57">
        <w:rPr>
          <w:spacing w:val="-3"/>
          <w:sz w:val="16"/>
          <w:lang w:val="fr-CA"/>
        </w:rPr>
        <w:t xml:space="preserve"> </w:t>
      </w:r>
      <w:r>
        <w:rPr>
          <w:spacing w:val="-3"/>
          <w:sz w:val="16"/>
          <w:lang w:val="fr-CA"/>
        </w:rPr>
        <w:t>45-1114</w:t>
      </w:r>
      <w:r w:rsidRPr="00CD4E57">
        <w:rPr>
          <w:spacing w:val="-4"/>
          <w:sz w:val="16"/>
          <w:lang w:val="fr-CA"/>
        </w:rPr>
        <w:t xml:space="preserve"> </w:t>
      </w:r>
      <w:r w:rsidRPr="00CD4E57">
        <w:rPr>
          <w:b/>
          <w:color w:val="3DA2CA"/>
          <w:sz w:val="16"/>
          <w:lang w:val="fr-CA"/>
        </w:rPr>
        <w:t>|</w:t>
      </w:r>
      <w:r w:rsidRPr="00CD4E57">
        <w:rPr>
          <w:b/>
          <w:color w:val="3DA2CA"/>
          <w:spacing w:val="-3"/>
          <w:sz w:val="16"/>
          <w:lang w:val="fr-CA"/>
        </w:rPr>
        <w:t xml:space="preserve"> </w:t>
      </w:r>
      <w:hyperlink w:history="1">
        <w:r w:rsidRPr="00B54453">
          <w:rPr>
            <w:rStyle w:val="Lienhypertexte"/>
            <w:sz w:val="16"/>
            <w:lang w:val="fr-CA"/>
          </w:rPr>
          <w:t xml:space="preserve">www.aemq.com </w:t>
        </w:r>
      </w:hyperlink>
      <w:r>
        <w:rPr>
          <w:noProof/>
          <w:spacing w:val="9"/>
          <w:position w:val="-1"/>
          <w:sz w:val="16"/>
        </w:rPr>
        <w:drawing>
          <wp:inline distT="0" distB="0" distL="0" distR="0" wp14:anchorId="0B3ADB66" wp14:editId="6BFF9C16">
            <wp:extent cx="106677" cy="10667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7" cy="10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6AA" w:rsidRPr="00CD4E57">
      <w:type w:val="continuous"/>
      <w:pgSz w:w="12250" w:h="20170"/>
      <w:pgMar w:top="700" w:right="12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altName w:val="Freestyle Script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D09BA"/>
    <w:multiLevelType w:val="hybridMultilevel"/>
    <w:tmpl w:val="B59EF808"/>
    <w:lvl w:ilvl="0" w:tplc="0B949E9A">
      <w:start w:val="1"/>
      <w:numFmt w:val="decimal"/>
      <w:lvlText w:val="%1."/>
      <w:lvlJc w:val="left"/>
      <w:pPr>
        <w:ind w:left="985" w:hanging="326"/>
        <w:jc w:val="left"/>
      </w:pPr>
      <w:rPr>
        <w:rFonts w:ascii="Roboto" w:eastAsia="Roboto" w:hAnsi="Roboto" w:cs="Roboto" w:hint="default"/>
        <w:b/>
        <w:bCs/>
        <w:color w:val="282F66"/>
        <w:spacing w:val="0"/>
        <w:w w:val="99"/>
        <w:sz w:val="28"/>
        <w:szCs w:val="28"/>
      </w:rPr>
    </w:lvl>
    <w:lvl w:ilvl="1" w:tplc="FFDC25F6">
      <w:numFmt w:val="bullet"/>
      <w:lvlText w:val=""/>
      <w:lvlJc w:val="left"/>
      <w:pPr>
        <w:ind w:left="1086" w:hanging="285"/>
      </w:pPr>
      <w:rPr>
        <w:rFonts w:ascii="Symbol" w:eastAsia="Symbol" w:hAnsi="Symbol" w:cs="Symbol" w:hint="default"/>
        <w:w w:val="99"/>
        <w:sz w:val="19"/>
        <w:szCs w:val="19"/>
      </w:rPr>
    </w:lvl>
    <w:lvl w:ilvl="2" w:tplc="C286208A">
      <w:numFmt w:val="bullet"/>
      <w:lvlText w:val="•"/>
      <w:lvlJc w:val="left"/>
      <w:pPr>
        <w:ind w:left="2091" w:hanging="285"/>
      </w:pPr>
      <w:rPr>
        <w:rFonts w:hint="default"/>
      </w:rPr>
    </w:lvl>
    <w:lvl w:ilvl="3" w:tplc="A8205F4C">
      <w:numFmt w:val="bullet"/>
      <w:lvlText w:val="•"/>
      <w:lvlJc w:val="left"/>
      <w:pPr>
        <w:ind w:left="3102" w:hanging="285"/>
      </w:pPr>
      <w:rPr>
        <w:rFonts w:hint="default"/>
      </w:rPr>
    </w:lvl>
    <w:lvl w:ilvl="4" w:tplc="5398450A">
      <w:numFmt w:val="bullet"/>
      <w:lvlText w:val="•"/>
      <w:lvlJc w:val="left"/>
      <w:pPr>
        <w:ind w:left="4114" w:hanging="285"/>
      </w:pPr>
      <w:rPr>
        <w:rFonts w:hint="default"/>
      </w:rPr>
    </w:lvl>
    <w:lvl w:ilvl="5" w:tplc="01044FB8">
      <w:numFmt w:val="bullet"/>
      <w:lvlText w:val="•"/>
      <w:lvlJc w:val="left"/>
      <w:pPr>
        <w:ind w:left="5125" w:hanging="285"/>
      </w:pPr>
      <w:rPr>
        <w:rFonts w:hint="default"/>
      </w:rPr>
    </w:lvl>
    <w:lvl w:ilvl="6" w:tplc="AD8EB034">
      <w:numFmt w:val="bullet"/>
      <w:lvlText w:val="•"/>
      <w:lvlJc w:val="left"/>
      <w:pPr>
        <w:ind w:left="6136" w:hanging="285"/>
      </w:pPr>
      <w:rPr>
        <w:rFonts w:hint="default"/>
      </w:rPr>
    </w:lvl>
    <w:lvl w:ilvl="7" w:tplc="435EDC3A">
      <w:numFmt w:val="bullet"/>
      <w:lvlText w:val="•"/>
      <w:lvlJc w:val="left"/>
      <w:pPr>
        <w:ind w:left="7148" w:hanging="285"/>
      </w:pPr>
      <w:rPr>
        <w:rFonts w:hint="default"/>
      </w:rPr>
    </w:lvl>
    <w:lvl w:ilvl="8" w:tplc="37C85CD4">
      <w:numFmt w:val="bullet"/>
      <w:lvlText w:val="•"/>
      <w:lvlJc w:val="left"/>
      <w:pPr>
        <w:ind w:left="8159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6AA"/>
    <w:rsid w:val="003F66AA"/>
    <w:rsid w:val="00C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0BDEC91"/>
  <w15:docId w15:val="{27FE3207-FF1A-4559-B84F-1C2C9964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Titre1">
    <w:name w:val="heading 1"/>
    <w:basedOn w:val="Normal"/>
    <w:uiPriority w:val="9"/>
    <w:qFormat/>
    <w:pPr>
      <w:ind w:left="986" w:hanging="326"/>
      <w:jc w:val="both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  <w:pPr>
      <w:ind w:left="1086" w:hanging="285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D4E5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4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d’une politique de prévention des maladies infectieuses au travail</dc:title>
  <dc:creator>Centre patronal SST – Formation et expertise</dc:creator>
  <cp:lastModifiedBy>Martin Cormier</cp:lastModifiedBy>
  <cp:revision>2</cp:revision>
  <dcterms:created xsi:type="dcterms:W3CDTF">2020-04-24T19:43:00Z</dcterms:created>
  <dcterms:modified xsi:type="dcterms:W3CDTF">2020-04-24T19:43:00Z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2020-04-13T00:00:00Z</vt:filetime>
  </property>
</Properties>
</file>